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7729D" w:rsidRPr="00552222" w:rsidRDefault="0057729D" w:rsidP="00552222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52222" w:rsidRPr="00552222" w:rsidRDefault="00BC3E66" w:rsidP="00552222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BC3E6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Порядок регистрации сделок для участников долевой собственности упрощается</w:t>
      </w:r>
    </w:p>
    <w:bookmarkEnd w:id="0"/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BC3E66" w:rsidRPr="00BC3E66" w:rsidRDefault="00BC3E66" w:rsidP="00BC3E66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BC3E66"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145415</wp:posOffset>
            </wp:positionV>
            <wp:extent cx="2828925" cy="1647825"/>
            <wp:effectExtent l="19050" t="0" r="9525" b="0"/>
            <wp:wrapSquare wrapText="bothSides"/>
            <wp:docPr id="2" name="Рисунок 1" descr="C:\Users\Vlad\Desktop\ВСЕ\Новая папка (2)\1536303311_219259_900-64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ВСЕ\Новая папка (2)\1536303311_219259_900-640x3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BC3E66">
        <w:rPr>
          <w:rFonts w:ascii="Segoe UI" w:eastAsia="Calibri" w:hAnsi="Segoe UI" w:cs="Segoe UI"/>
          <w:noProof/>
          <w:lang w:eastAsia="ru-RU"/>
        </w:rPr>
        <w:t xml:space="preserve">1 мая 2019 года Президент РФ подписал Федеральный закон «О внесении изменений в отдельные законодательные акты Российской Федерации в части особенностей изменения условий кредитного договора, договора займа, которые заключены с заемщиком –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по требованию заемщика». </w:t>
      </w:r>
      <w:proofErr w:type="gramEnd"/>
    </w:p>
    <w:p w:rsidR="00BC3E66" w:rsidRPr="00BC3E66" w:rsidRDefault="00BC3E66" w:rsidP="00BC3E66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proofErr w:type="gramStart"/>
      <w:r w:rsidRPr="00BC3E66">
        <w:rPr>
          <w:rFonts w:ascii="Segoe UI" w:eastAsia="Calibri" w:hAnsi="Segoe UI" w:cs="Segoe UI"/>
          <w:noProof/>
          <w:lang w:eastAsia="ru-RU"/>
        </w:rPr>
        <w:t>Изменения вступают в силу 31 июля 2019 года, в соответствии с которыми отменяется обязательное нотариальное удостоверение отдельных видов сделок с долями в праве общей собственности.</w:t>
      </w:r>
      <w:proofErr w:type="gramEnd"/>
    </w:p>
    <w:p w:rsidR="00BC3E66" w:rsidRPr="00BC3E66" w:rsidRDefault="00BC3E66" w:rsidP="00BC3E66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BC3E66">
        <w:rPr>
          <w:rFonts w:ascii="Segoe UI" w:eastAsia="Calibri" w:hAnsi="Segoe UI" w:cs="Segoe UI"/>
          <w:noProof/>
          <w:lang w:eastAsia="ru-RU"/>
        </w:rPr>
        <w:t>Согласно нововведению сделки по отчуждению или договоры ипотеки долей в праве общей собственности на недвижимое имущество подлежат нотариальному удостоверению, за исключением:</w:t>
      </w:r>
    </w:p>
    <w:p w:rsidR="00BC3E66" w:rsidRPr="00BC3E66" w:rsidRDefault="00BC3E66" w:rsidP="00BC3E66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BC3E66">
        <w:rPr>
          <w:rFonts w:ascii="Segoe UI" w:eastAsia="Calibri" w:hAnsi="Segoe UI" w:cs="Segoe UI"/>
          <w:noProof/>
          <w:lang w:eastAsia="ru-RU"/>
        </w:rPr>
        <w:t>- сделок при отчуждении или ипотеке всеми участниками долевой собственности своих долей по одной сделке;</w:t>
      </w:r>
    </w:p>
    <w:p w:rsidR="00BC3E66" w:rsidRPr="00BC3E66" w:rsidRDefault="00BC3E66" w:rsidP="00BC3E66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BC3E66">
        <w:rPr>
          <w:rFonts w:ascii="Segoe UI" w:eastAsia="Calibri" w:hAnsi="Segoe UI" w:cs="Segoe UI"/>
          <w:noProof/>
          <w:lang w:eastAsia="ru-RU"/>
        </w:rPr>
        <w:t>- сделок, связанных с имуществом, составляющим паевой инвестиционный фонд или приобретаемым для включения в состав паевого инвестиционного фонда;</w:t>
      </w:r>
    </w:p>
    <w:p w:rsidR="00BC3E66" w:rsidRPr="00BC3E66" w:rsidRDefault="00BC3E66" w:rsidP="00BC3E66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BC3E66">
        <w:rPr>
          <w:rFonts w:ascii="Segoe UI" w:eastAsia="Calibri" w:hAnsi="Segoe UI" w:cs="Segoe UI"/>
          <w:noProof/>
          <w:lang w:eastAsia="ru-RU"/>
        </w:rPr>
        <w:t>- сделок по отчуждению земельных долей;</w:t>
      </w:r>
    </w:p>
    <w:p w:rsidR="00BC3E66" w:rsidRPr="00BC3E66" w:rsidRDefault="00BC3E66" w:rsidP="00BC3E66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BC3E66">
        <w:rPr>
          <w:rFonts w:ascii="Segoe UI" w:eastAsia="Calibri" w:hAnsi="Segoe UI" w:cs="Segoe UI"/>
          <w:noProof/>
          <w:lang w:eastAsia="ru-RU"/>
        </w:rPr>
        <w:t>- сделок по отчуждению и приобретению долей в праве общей собственности на недвижимое имущество при заключении договора, предусматривающего переход права собственности на жилое помещение в соответствии с Законом Российской Федерации от 15 апреля 1993 года № 4802-1 «О статусе столицы Российской Федерации» (кроме случая, предусмотренного частью девятнадцатой статьи 7.3 указанного Закона);</w:t>
      </w:r>
    </w:p>
    <w:p w:rsidR="00BC3E66" w:rsidRPr="00BC3E66" w:rsidRDefault="00BC3E66" w:rsidP="00BC3E66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BC3E66">
        <w:rPr>
          <w:rFonts w:ascii="Segoe UI" w:eastAsia="Calibri" w:hAnsi="Segoe UI" w:cs="Segoe UI"/>
          <w:noProof/>
          <w:lang w:eastAsia="ru-RU"/>
        </w:rPr>
        <w:t>- договоров об ипотеке долей в праве общей собственности на недвижимое имущество, заключаемых с кредитными организациями.</w:t>
      </w:r>
    </w:p>
    <w:p w:rsidR="00BC3E66" w:rsidRPr="00BC3E66" w:rsidRDefault="00BC3E66" w:rsidP="00BC3E66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BC3E66">
        <w:rPr>
          <w:rFonts w:ascii="Segoe UI" w:eastAsia="Calibri" w:hAnsi="Segoe UI" w:cs="Segoe UI"/>
          <w:noProof/>
          <w:lang w:eastAsia="ru-RU"/>
        </w:rPr>
        <w:t>Это позволит участникам общей долевой собственности, которые принимают обоюдное решение, потратить меньше средств и времени при отчуждении и ипотеке имущества.</w:t>
      </w:r>
    </w:p>
    <w:p w:rsidR="00434235" w:rsidRPr="00D85F59" w:rsidRDefault="00BC3E66" w:rsidP="00BC3E66">
      <w:pPr>
        <w:ind w:firstLine="708"/>
        <w:jc w:val="both"/>
        <w:outlineLvl w:val="0"/>
        <w:rPr>
          <w:rFonts w:ascii="Segoe UI" w:hAnsi="Segoe UI" w:cs="Segoe UI"/>
        </w:rPr>
      </w:pPr>
      <w:r w:rsidRPr="00BC3E66">
        <w:rPr>
          <w:rFonts w:ascii="Segoe UI" w:eastAsia="Calibri" w:hAnsi="Segoe UI" w:cs="Segoe UI"/>
          <w:noProof/>
          <w:lang w:eastAsia="ru-RU"/>
        </w:rPr>
        <w:t>Напомним, что нотариальное удостоверение сделок по отчуждению долей в праве на недвижимость стало обязательным в 2016 году.</w:t>
      </w:r>
    </w:p>
    <w:sectPr w:rsidR="00434235" w:rsidRPr="00D85F59" w:rsidSect="00667AD4">
      <w:footerReference w:type="default" r:id="rId9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EF1BD2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F4545">
      <w:rPr>
        <w:noProof/>
        <w:sz w:val="16"/>
        <w:szCs w:val="16"/>
      </w:rPr>
      <w:t>18.06.2019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F4545">
      <w:rPr>
        <w:noProof/>
        <w:sz w:val="16"/>
        <w:szCs w:val="16"/>
      </w:rPr>
      <w:t>16:24:34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0F454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0F454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39D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545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3E66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2AB0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EF1BD2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F6B6-A8D7-47B6-A872-89A46F50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Липинская</cp:lastModifiedBy>
  <cp:revision>5</cp:revision>
  <cp:lastPrinted>2019-06-18T09:24:00Z</cp:lastPrinted>
  <dcterms:created xsi:type="dcterms:W3CDTF">2019-06-18T08:29:00Z</dcterms:created>
  <dcterms:modified xsi:type="dcterms:W3CDTF">2019-06-18T09:24:00Z</dcterms:modified>
</cp:coreProperties>
</file>