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0229" w:rsidRPr="00C8199F" w:rsidRDefault="00925C37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DE0229" w:rsidRDefault="00DE0229" w:rsidP="00DE0229">
      <w:pPr>
        <w:contextualSpacing/>
        <w:jc w:val="both"/>
        <w:rPr>
          <w:sz w:val="28"/>
          <w:szCs w:val="28"/>
        </w:rPr>
      </w:pPr>
    </w:p>
    <w:p w:rsidR="007E3D9E" w:rsidRDefault="007E3D9E" w:rsidP="007E3D9E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B7330F" w:rsidRDefault="00B7330F" w:rsidP="00B7330F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B7330F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Об электронной закладной</w:t>
      </w:r>
    </w:p>
    <w:p w:rsidR="00B7330F" w:rsidRPr="00B7330F" w:rsidRDefault="00B7330F" w:rsidP="00B7330F">
      <w:pPr>
        <w:tabs>
          <w:tab w:val="left" w:pos="4320"/>
        </w:tabs>
        <w:spacing w:line="276" w:lineRule="auto"/>
        <w:ind w:right="-5"/>
        <w:jc w:val="both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B7330F" w:rsidRPr="00B7330F" w:rsidRDefault="00B7330F" w:rsidP="00B7330F">
      <w:pPr>
        <w:tabs>
          <w:tab w:val="left" w:pos="4320"/>
        </w:tabs>
        <w:ind w:right="-6"/>
        <w:contextualSpacing/>
        <w:jc w:val="both"/>
        <w:rPr>
          <w:rFonts w:ascii="Segoe UI" w:eastAsiaTheme="majorEastAsia" w:hAnsi="Segoe UI" w:cs="Segoe UI"/>
          <w:bCs/>
          <w:color w:val="000000" w:themeColor="text1"/>
        </w:rPr>
      </w:pPr>
      <w:r>
        <w:rPr>
          <w:rFonts w:ascii="Segoe UI" w:eastAsiaTheme="majorEastAsia" w:hAnsi="Segoe UI" w:cs="Segoe UI"/>
          <w:bCs/>
          <w:color w:val="000000" w:themeColor="text1"/>
        </w:rPr>
        <w:t xml:space="preserve">           </w:t>
      </w:r>
      <w:r w:rsidRPr="00B7330F">
        <w:rPr>
          <w:rFonts w:ascii="Segoe UI" w:eastAsiaTheme="majorEastAsia" w:hAnsi="Segoe UI" w:cs="Segoe UI"/>
          <w:bCs/>
          <w:color w:val="000000" w:themeColor="text1"/>
        </w:rPr>
        <w:t xml:space="preserve">Филиал ФГБУ «ФКП </w:t>
      </w:r>
      <w:proofErr w:type="spellStart"/>
      <w:r w:rsidRPr="00B7330F">
        <w:rPr>
          <w:rFonts w:ascii="Segoe UI" w:eastAsiaTheme="majorEastAsia" w:hAnsi="Segoe UI" w:cs="Segoe UI"/>
          <w:bCs/>
          <w:color w:val="000000" w:themeColor="text1"/>
        </w:rPr>
        <w:t>Росреестра</w:t>
      </w:r>
      <w:proofErr w:type="spellEnd"/>
      <w:r w:rsidRPr="00B7330F">
        <w:rPr>
          <w:rFonts w:ascii="Segoe UI" w:eastAsiaTheme="majorEastAsia" w:hAnsi="Segoe UI" w:cs="Segoe UI"/>
          <w:bCs/>
          <w:color w:val="000000" w:themeColor="text1"/>
        </w:rPr>
        <w:t xml:space="preserve">» по Красноярскому краю сообщает о том, что с </w:t>
      </w:r>
      <w:r>
        <w:rPr>
          <w:rFonts w:ascii="Segoe UI" w:eastAsiaTheme="majorEastAsia" w:hAnsi="Segoe UI" w:cs="Segoe UI"/>
          <w:bCs/>
          <w:color w:val="000000" w:themeColor="text1"/>
        </w:rPr>
        <w:t xml:space="preserve">            </w:t>
      </w:r>
      <w:r w:rsidRPr="00B7330F">
        <w:rPr>
          <w:rFonts w:ascii="Segoe UI" w:eastAsiaTheme="majorEastAsia" w:hAnsi="Segoe UI" w:cs="Segoe UI"/>
          <w:bCs/>
          <w:color w:val="000000" w:themeColor="text1"/>
        </w:rPr>
        <w:t>1 июля 2018 года при оформлении ипотеки будет применяться электронная закладная.</w:t>
      </w:r>
    </w:p>
    <w:p w:rsidR="00B7330F" w:rsidRPr="00B7330F" w:rsidRDefault="00B7330F" w:rsidP="00B7330F">
      <w:pPr>
        <w:tabs>
          <w:tab w:val="left" w:pos="4320"/>
        </w:tabs>
        <w:ind w:right="-6"/>
        <w:contextualSpacing/>
        <w:jc w:val="both"/>
        <w:rPr>
          <w:rFonts w:ascii="Segoe UI" w:eastAsiaTheme="majorEastAsia" w:hAnsi="Segoe UI" w:cs="Segoe UI"/>
          <w:bCs/>
          <w:color w:val="000000" w:themeColor="text1"/>
        </w:rPr>
      </w:pPr>
      <w:r>
        <w:rPr>
          <w:rFonts w:ascii="Segoe UI" w:eastAsiaTheme="majorEastAsia" w:hAnsi="Segoe UI" w:cs="Segoe UI"/>
          <w:bCs/>
          <w:color w:val="000000" w:themeColor="text1"/>
        </w:rPr>
        <w:t xml:space="preserve">            </w:t>
      </w:r>
      <w:r w:rsidRPr="00B7330F">
        <w:rPr>
          <w:rFonts w:ascii="Segoe UI" w:eastAsiaTheme="majorEastAsia" w:hAnsi="Segoe UI" w:cs="Segoe UI"/>
          <w:bCs/>
          <w:color w:val="000000" w:themeColor="text1"/>
        </w:rPr>
        <w:t>Закладная является именной документарной ценной бумагой или бездокументарной ценной бумагой, права по которой закрепляются в форме электронного документа, подписанного УКЭП, который хранится в депозитарии.</w:t>
      </w:r>
    </w:p>
    <w:p w:rsidR="00B7330F" w:rsidRPr="00B7330F" w:rsidRDefault="00B7330F" w:rsidP="00B7330F">
      <w:pPr>
        <w:tabs>
          <w:tab w:val="left" w:pos="709"/>
        </w:tabs>
        <w:ind w:right="-6"/>
        <w:contextualSpacing/>
        <w:jc w:val="both"/>
        <w:rPr>
          <w:rFonts w:ascii="Segoe UI" w:eastAsiaTheme="majorEastAsia" w:hAnsi="Segoe UI" w:cs="Segoe UI"/>
          <w:bCs/>
          <w:color w:val="000000" w:themeColor="text1"/>
        </w:rPr>
      </w:pPr>
      <w:r>
        <w:rPr>
          <w:rFonts w:ascii="Segoe UI" w:eastAsiaTheme="majorEastAsia" w:hAnsi="Segoe UI" w:cs="Segoe UI"/>
          <w:bCs/>
          <w:color w:val="000000" w:themeColor="text1"/>
        </w:rPr>
        <w:tab/>
      </w:r>
      <w:r w:rsidRPr="00B7330F">
        <w:rPr>
          <w:rFonts w:ascii="Segoe UI" w:eastAsiaTheme="majorEastAsia" w:hAnsi="Segoe UI" w:cs="Segoe UI"/>
          <w:bCs/>
          <w:color w:val="000000" w:themeColor="text1"/>
        </w:rPr>
        <w:t>Права по закладной могут осуществлять законный владелец закладной и иные лица, которые в соответствии с федеральными законами или их личным законом от своего имени осуществляют права по ценным бумагам.</w:t>
      </w:r>
    </w:p>
    <w:p w:rsidR="00B7330F" w:rsidRPr="00B7330F" w:rsidRDefault="00B7330F" w:rsidP="00B7330F">
      <w:pPr>
        <w:tabs>
          <w:tab w:val="left" w:pos="709"/>
        </w:tabs>
        <w:ind w:right="-6"/>
        <w:contextualSpacing/>
        <w:jc w:val="both"/>
        <w:rPr>
          <w:rFonts w:ascii="Segoe UI" w:eastAsiaTheme="majorEastAsia" w:hAnsi="Segoe UI" w:cs="Segoe UI"/>
          <w:bCs/>
          <w:color w:val="000000" w:themeColor="text1"/>
        </w:rPr>
      </w:pPr>
      <w:r>
        <w:rPr>
          <w:rFonts w:ascii="Segoe UI" w:eastAsiaTheme="majorEastAsia" w:hAnsi="Segoe UI" w:cs="Segoe UI"/>
          <w:bCs/>
          <w:color w:val="000000" w:themeColor="text1"/>
        </w:rPr>
        <w:tab/>
      </w:r>
      <w:r w:rsidRPr="00B7330F">
        <w:rPr>
          <w:rFonts w:ascii="Segoe UI" w:eastAsiaTheme="majorEastAsia" w:hAnsi="Segoe UI" w:cs="Segoe UI"/>
          <w:bCs/>
          <w:color w:val="000000" w:themeColor="text1"/>
        </w:rPr>
        <w:t>Устанавливается порядок изменения условий документарной закладной, ее обездвижения путем передачи закладной по договору в депозитарий для хранения и учета прав; внесения изменений в электронную закладную, особенности погашения ипотеки, порядок передачи электронной закладной на хранение в другой депозитарий, особенности выдачи электронной закладной с использованием систем дистанционного обслуживания, скорректировано содержание закладной (в том числе обязательные сведения).</w:t>
      </w:r>
    </w:p>
    <w:p w:rsidR="00B7330F" w:rsidRPr="00B7330F" w:rsidRDefault="00B7330F" w:rsidP="00B7330F">
      <w:pPr>
        <w:tabs>
          <w:tab w:val="left" w:pos="709"/>
        </w:tabs>
        <w:ind w:right="-6"/>
        <w:contextualSpacing/>
        <w:jc w:val="both"/>
        <w:rPr>
          <w:rFonts w:ascii="Segoe UI" w:eastAsiaTheme="majorEastAsia" w:hAnsi="Segoe UI" w:cs="Segoe UI"/>
          <w:bCs/>
          <w:color w:val="000000" w:themeColor="text1"/>
        </w:rPr>
      </w:pPr>
      <w:r>
        <w:rPr>
          <w:rFonts w:ascii="Segoe UI" w:eastAsiaTheme="majorEastAsia" w:hAnsi="Segoe UI" w:cs="Segoe UI"/>
          <w:bCs/>
          <w:color w:val="000000" w:themeColor="text1"/>
        </w:rPr>
        <w:tab/>
      </w:r>
      <w:r w:rsidRPr="00B7330F">
        <w:rPr>
          <w:rFonts w:ascii="Segoe UI" w:eastAsiaTheme="majorEastAsia" w:hAnsi="Segoe UI" w:cs="Segoe UI"/>
          <w:bCs/>
          <w:color w:val="000000" w:themeColor="text1"/>
        </w:rPr>
        <w:t>Закрепляется, что электронная закладная составляется посредством заполнения ее формы на едином портале государственных и муниципальных услуг (функций), или на официальном сайте органа регистрации прав в сети Интернет, или с использованием иных информационных технологий взаимодействия с органами регистрации.</w:t>
      </w:r>
    </w:p>
    <w:p w:rsidR="00B7330F" w:rsidRPr="00B7330F" w:rsidRDefault="00B7330F" w:rsidP="00B7330F">
      <w:pPr>
        <w:tabs>
          <w:tab w:val="left" w:pos="709"/>
        </w:tabs>
        <w:ind w:right="-6"/>
        <w:contextualSpacing/>
        <w:jc w:val="both"/>
        <w:rPr>
          <w:rFonts w:ascii="Segoe UI" w:eastAsiaTheme="majorEastAsia" w:hAnsi="Segoe UI" w:cs="Segoe UI"/>
          <w:bCs/>
          <w:color w:val="000000" w:themeColor="text1"/>
        </w:rPr>
      </w:pPr>
      <w:r>
        <w:rPr>
          <w:rFonts w:ascii="Segoe UI" w:eastAsiaTheme="majorEastAsia" w:hAnsi="Segoe UI" w:cs="Segoe UI"/>
          <w:bCs/>
          <w:color w:val="000000" w:themeColor="text1"/>
        </w:rPr>
        <w:tab/>
      </w:r>
      <w:r w:rsidRPr="00B7330F">
        <w:rPr>
          <w:rFonts w:ascii="Segoe UI" w:eastAsiaTheme="majorEastAsia" w:hAnsi="Segoe UI" w:cs="Segoe UI"/>
          <w:bCs/>
          <w:color w:val="000000" w:themeColor="text1"/>
        </w:rPr>
        <w:t>Предусматривается возможность выдачи в установленном порядке электронной закладной взамен документарной закладной, которая должна быть представлена в орган регистрации прав до подачи заявления о выдаче электронной закладной. Выдача документарной закладной взамен электронной закладной не допускается. Помимо прочего устанавливается, что орган регистрации прав предоставляет по запросу информацию о депозитарии, который осуществляет хранение электронной закладной.</w:t>
      </w:r>
    </w:p>
    <w:p w:rsidR="009A1C09" w:rsidRPr="00B7330F" w:rsidRDefault="00B7330F" w:rsidP="00B7330F">
      <w:pPr>
        <w:tabs>
          <w:tab w:val="left" w:pos="709"/>
        </w:tabs>
        <w:ind w:right="-6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eastAsiaTheme="majorEastAsia" w:hAnsi="Segoe UI" w:cs="Segoe UI"/>
          <w:bCs/>
          <w:color w:val="000000" w:themeColor="text1"/>
        </w:rPr>
        <w:tab/>
      </w:r>
      <w:r w:rsidRPr="00B7330F">
        <w:rPr>
          <w:rFonts w:ascii="Segoe UI" w:eastAsiaTheme="majorEastAsia" w:hAnsi="Segoe UI" w:cs="Segoe UI"/>
          <w:bCs/>
          <w:color w:val="000000" w:themeColor="text1"/>
        </w:rPr>
        <w:t>При погашении регистрационной записи об ипотеке обращение с заявлением об аннулировании электронной закладной не требуется.</w:t>
      </w:r>
    </w:p>
    <w:sectPr w:rsidR="009A1C09" w:rsidRPr="00B7330F" w:rsidSect="007E3D9E">
      <w:footerReference w:type="default" r:id="rId8"/>
      <w:footerReference w:type="first" r:id="rId9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62E7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91B68">
      <w:rPr>
        <w:noProof/>
        <w:sz w:val="16"/>
        <w:szCs w:val="16"/>
      </w:rPr>
      <w:t>10.07.2018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91B68">
      <w:rPr>
        <w:noProof/>
        <w:sz w:val="16"/>
        <w:szCs w:val="16"/>
      </w:rPr>
      <w:t>11:13:39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91B6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91B6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1A73"/>
    <w:rsid w:val="00012B2C"/>
    <w:rsid w:val="00012D82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D4EDF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91B68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A47AB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E3D9E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0A23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7330F"/>
    <w:rsid w:val="00B83A44"/>
    <w:rsid w:val="00B849BB"/>
    <w:rsid w:val="00B92739"/>
    <w:rsid w:val="00BA156C"/>
    <w:rsid w:val="00BC3BAB"/>
    <w:rsid w:val="00BC5699"/>
    <w:rsid w:val="00BF0A43"/>
    <w:rsid w:val="00BF4C4D"/>
    <w:rsid w:val="00C03BAC"/>
    <w:rsid w:val="00C11DE9"/>
    <w:rsid w:val="00C12AB3"/>
    <w:rsid w:val="00C42B30"/>
    <w:rsid w:val="00C4745B"/>
    <w:rsid w:val="00C5221E"/>
    <w:rsid w:val="00C616BA"/>
    <w:rsid w:val="00C8199F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2018-07-10T04:13:00Z</cp:lastPrinted>
  <dcterms:created xsi:type="dcterms:W3CDTF">2018-07-10T03:40:00Z</dcterms:created>
  <dcterms:modified xsi:type="dcterms:W3CDTF">2018-07-10T04:18:00Z</dcterms:modified>
</cp:coreProperties>
</file>