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086AFC" w:rsidRDefault="0003721F" w:rsidP="00086AFC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</w:pPr>
      <w:r w:rsidRPr="0003721F">
        <w:rPr>
          <w:noProof/>
          <w:sz w:val="27"/>
          <w:szCs w:val="27"/>
          <w:lang w:eastAsia="ru-RU"/>
        </w:rPr>
        <w:tab/>
      </w:r>
      <w:r w:rsidR="00086AFC" w:rsidRPr="00086AFC"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  <w:t xml:space="preserve">Кадастровая палата продолжает перевод </w:t>
      </w:r>
    </w:p>
    <w:p w:rsidR="00086AFC" w:rsidRPr="00086AFC" w:rsidRDefault="00086AFC" w:rsidP="00086AF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6AFC"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  <w:t>архива в электронный вид</w:t>
      </w:r>
    </w:p>
    <w:p w:rsidR="00086AFC" w:rsidRPr="00086AFC" w:rsidRDefault="00086AFC" w:rsidP="00086AFC">
      <w:pPr>
        <w:ind w:left="1560" w:hanging="1560"/>
        <w:jc w:val="both"/>
        <w:outlineLvl w:val="0"/>
        <w:rPr>
          <w:rFonts w:ascii="Segoe UI" w:hAnsi="Segoe UI" w:cs="Segoe UI"/>
        </w:rPr>
      </w:pPr>
      <w:r w:rsidRPr="00086AF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B426F2D" wp14:editId="0EAFB863">
            <wp:simplePos x="0" y="0"/>
            <wp:positionH relativeFrom="column">
              <wp:posOffset>6985</wp:posOffset>
            </wp:positionH>
            <wp:positionV relativeFrom="paragraph">
              <wp:posOffset>39370</wp:posOffset>
            </wp:positionV>
            <wp:extent cx="3073400" cy="2305050"/>
            <wp:effectExtent l="0" t="0" r="0" b="0"/>
            <wp:wrapSquare wrapText="bothSides"/>
            <wp:docPr id="2" name="Рисунок 2" descr="http://to33.minjust.ru/sites/default/files/konferenciya_zag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33.minjust.ru/sites/default/files/konferenciya_zags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AFC">
        <w:rPr>
          <w:sz w:val="28"/>
          <w:szCs w:val="28"/>
        </w:rPr>
        <w:br/>
      </w:r>
      <w:r w:rsidRPr="00086AFC">
        <w:rPr>
          <w:sz w:val="28"/>
          <w:szCs w:val="28"/>
        </w:rPr>
        <w:tab/>
      </w:r>
      <w:r w:rsidRPr="00086AFC">
        <w:rPr>
          <w:rFonts w:ascii="Segoe UI" w:hAnsi="Segoe UI" w:cs="Segoe UI"/>
        </w:rPr>
        <w:t xml:space="preserve">За семь месяцев текущего года </w:t>
      </w:r>
      <w:r w:rsidRPr="00086AFC">
        <w:rPr>
          <w:rFonts w:ascii="Segoe UI" w:hAnsi="Segoe UI" w:cs="Segoe UI"/>
          <w:color w:val="000000"/>
          <w:shd w:val="clear" w:color="auto" w:fill="FFFFFF"/>
        </w:rPr>
        <w:t>Кадастровая палата по Красноярскому краю перевела в электронный вид порядка 93 тыс. кадастровых дел, что составляет более 55% от</w:t>
      </w:r>
      <w:r w:rsidR="002D431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86AFC">
        <w:rPr>
          <w:rFonts w:ascii="Segoe UI" w:hAnsi="Segoe UI" w:cs="Segoe UI"/>
          <w:color w:val="000000"/>
          <w:shd w:val="clear" w:color="auto" w:fill="FFFFFF"/>
        </w:rPr>
        <w:t>количества кадастровых дел, запланированных для перевода в электронный вид в 2018 году.</w:t>
      </w:r>
    </w:p>
    <w:p w:rsidR="00086AFC" w:rsidRPr="00086AFC" w:rsidRDefault="00086AFC" w:rsidP="00086AFC">
      <w:pPr>
        <w:ind w:firstLine="708"/>
        <w:jc w:val="both"/>
        <w:outlineLvl w:val="0"/>
        <w:rPr>
          <w:rFonts w:ascii="Segoe UI" w:hAnsi="Segoe UI" w:cs="Segoe UI"/>
          <w:color w:val="000000"/>
          <w:shd w:val="clear" w:color="auto" w:fill="FFFFFF"/>
        </w:rPr>
      </w:pPr>
      <w:r w:rsidRPr="00086AFC">
        <w:rPr>
          <w:rFonts w:ascii="Segoe UI" w:hAnsi="Segoe UI" w:cs="Segoe UI"/>
          <w:color w:val="000000"/>
          <w:shd w:val="clear" w:color="auto" w:fill="FFFFFF"/>
        </w:rPr>
        <w:t>Согласно Стратегии архивного хранения и перевода в электронную форму архивных документов в рамках Российской Федерации перевод 100% кадастровых дел планируется к концу 2019 года, при этом под 100% принимается значение равное 38 млн. кадастровых дел.</w:t>
      </w:r>
    </w:p>
    <w:p w:rsidR="00086AFC" w:rsidRPr="00086AFC" w:rsidRDefault="00086AFC" w:rsidP="00086AFC">
      <w:pPr>
        <w:shd w:val="clear" w:color="auto" w:fill="FFFFFF"/>
        <w:suppressAutoHyphens w:val="0"/>
        <w:ind w:firstLine="708"/>
        <w:jc w:val="both"/>
        <w:textAlignment w:val="baseline"/>
        <w:outlineLvl w:val="0"/>
        <w:rPr>
          <w:rFonts w:ascii="Segoe UI" w:hAnsi="Segoe UI" w:cs="Segoe UI"/>
          <w:color w:val="000000"/>
          <w:shd w:val="clear" w:color="auto" w:fill="FFFFFF"/>
        </w:rPr>
      </w:pPr>
      <w:r w:rsidRPr="00086AFC">
        <w:rPr>
          <w:rFonts w:ascii="Segoe UI" w:hAnsi="Segoe UI" w:cs="Segoe UI"/>
          <w:color w:val="000000"/>
          <w:shd w:val="clear" w:color="auto" w:fill="FFFFFF"/>
        </w:rPr>
        <w:t>Перевод кадастровых дел в электронный вид способствует оптимизации состава хранимых дел. Оперативный поиск документов значительно сокращает сроки предоставления услуг, как по предоставлению сведений из реестра недвижимости, так и по кадастровому учету и регистрации права на недвижимость, благодаря чему улучшается качество услуг, предоставляемых заинтересованным лицам. </w:t>
      </w:r>
    </w:p>
    <w:p w:rsidR="00086AFC" w:rsidRPr="00086AFC" w:rsidRDefault="00086AFC" w:rsidP="00086AFC">
      <w:pPr>
        <w:jc w:val="both"/>
        <w:outlineLvl w:val="0"/>
        <w:rPr>
          <w:rFonts w:ascii="Segoe UI" w:hAnsi="Segoe UI" w:cs="Segoe UI"/>
          <w:color w:val="000000"/>
          <w:shd w:val="clear" w:color="auto" w:fill="FFFFFF"/>
        </w:rPr>
      </w:pPr>
    </w:p>
    <w:p w:rsidR="00086AFC" w:rsidRPr="00086AFC" w:rsidRDefault="00086AFC" w:rsidP="00086AFC">
      <w:pPr>
        <w:jc w:val="both"/>
        <w:outlineLvl w:val="0"/>
        <w:rPr>
          <w:rFonts w:ascii="Segoe UI" w:hAnsi="Segoe UI" w:cs="Segoe UI"/>
          <w:color w:val="000000"/>
          <w:shd w:val="clear" w:color="auto" w:fill="FFFFFF"/>
        </w:rPr>
      </w:pPr>
    </w:p>
    <w:p w:rsidR="009A1C09" w:rsidRPr="00086AFC" w:rsidRDefault="009A1C09" w:rsidP="00086AFC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086AFC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16FB9">
      <w:rPr>
        <w:noProof/>
        <w:sz w:val="16"/>
        <w:szCs w:val="16"/>
      </w:rPr>
      <w:t>13.08.2018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16FB9">
      <w:rPr>
        <w:noProof/>
        <w:sz w:val="16"/>
        <w:szCs w:val="16"/>
      </w:rPr>
      <w:t>12:30:00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16F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16F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6AFC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4318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34C2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14446"/>
    <w:rsid w:val="00D16FB9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2018-08-13T05:30:00Z</cp:lastPrinted>
  <dcterms:created xsi:type="dcterms:W3CDTF">2018-08-13T04:35:00Z</dcterms:created>
  <dcterms:modified xsi:type="dcterms:W3CDTF">2018-08-13T05:30:00Z</dcterms:modified>
</cp:coreProperties>
</file>